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0A9" w:rsidRDefault="0053692D" w:rsidP="001732D8">
      <w:pPr>
        <w:pStyle w:val="DocTitleNorm"/>
      </w:pPr>
      <w:r>
        <w:t xml:space="preserve">Рекомендации по внедрению организационных </w:t>
      </w:r>
      <w:r>
        <w:br/>
        <w:t xml:space="preserve">(административных) мер защиты </w:t>
      </w:r>
      <w:r>
        <w:br/>
        <w:t>персональных данных</w:t>
      </w:r>
    </w:p>
    <w:p w:rsidR="0024529D" w:rsidRDefault="0053692D" w:rsidP="001732D8">
      <w:r>
        <w:t xml:space="preserve">Рекомендации по внедрению организационных (административных) мер защиты персональных данных разработаны для </w:t>
      </w:r>
      <w:r w:rsidR="009900D3">
        <w:t xml:space="preserve">Областного государственного бюджетного профессионального образовательного учреждения «Жадовский сельскохозяйственный </w:t>
      </w:r>
      <w:proofErr w:type="gramStart"/>
      <w:r w:rsidR="009900D3">
        <w:t>техникум»</w:t>
      </w:r>
      <w:bookmarkStart w:id="0" w:name="_GoBack"/>
      <w:bookmarkEnd w:id="0"/>
      <w:r>
        <w:t xml:space="preserve">  (</w:t>
      </w:r>
      <w:proofErr w:type="gramEnd"/>
      <w:r>
        <w:t>далее – Оператор).</w:t>
      </w:r>
    </w:p>
    <w:p w:rsidR="001732D8" w:rsidRDefault="0053692D" w:rsidP="001732D8">
      <w:r>
        <w:t xml:space="preserve">Рекомендации разработаны в соответствии с Федеральным законом от 27 июля 2006г. №152-ФЗ «О персональных данных», Постановлением Правительства Российской Федерации от 1 ноября 2012г. №1119 «Об утверждении требований к защите персональных данных при их обработке в информационных системах персональных данных», Постановлением Правительства Российской Федерации от 15 сентября 2008г. №687 «Об утверждении Положения об особенностях обработки персональных данных, осуществляемой без использования средств автоматизации». </w:t>
      </w:r>
    </w:p>
    <w:p w:rsidR="001732D8" w:rsidRDefault="0053692D" w:rsidP="001732D8">
      <w:pPr>
        <w:pStyle w:val="HeadNum2"/>
      </w:pPr>
      <w:r>
        <w:t>1.</w:t>
      </w:r>
      <w:r>
        <w:tab/>
        <w:t>Общие рекомендации</w:t>
      </w:r>
    </w:p>
    <w:p w:rsidR="001732D8" w:rsidRDefault="0053692D" w:rsidP="001732D8">
      <w:pPr>
        <w:pStyle w:val="ListNoNum"/>
      </w:pPr>
      <w:r>
        <w:t>1.1.</w:t>
      </w:r>
      <w:r>
        <w:tab/>
        <w:t>Оператор обязан принимать меры, необходимые и достаточные для обеспечения выполнения обязанностей, предусмотренных Федеральным законом «О персональных данных» и принятыми в соответствии с ним нормативными правовыми актами.</w:t>
      </w:r>
    </w:p>
    <w:p w:rsidR="001732D8" w:rsidRDefault="0053692D" w:rsidP="001732D8">
      <w:pPr>
        <w:pStyle w:val="ListNoNum"/>
      </w:pPr>
      <w:r>
        <w:t>1.2.</w:t>
      </w:r>
      <w:r>
        <w:tab/>
        <w:t>Оператор самостоятельно определяет состав и перечень мер, необходимых и достаточных для обеспечения выполнения обязанностей, предусмотренных законодательством и иными нормативными правовыми актами РФ в области персональных данных.</w:t>
      </w:r>
    </w:p>
    <w:p w:rsidR="001732D8" w:rsidRDefault="0053692D" w:rsidP="001732D8">
      <w:pPr>
        <w:pStyle w:val="ListNoNum"/>
      </w:pPr>
      <w:r>
        <w:t>1.3.</w:t>
      </w:r>
      <w:r>
        <w:tab/>
        <w:t>Оператор может привлекать к решению задач по приведению обработки и защиты персональных данных в соответствие требованиям законодательства специализированные организации, имеющие разрешение (лицензию) на осуществление деятельности по технической защите конфиденциальной информации.</w:t>
      </w:r>
    </w:p>
    <w:p w:rsidR="001732D8" w:rsidRDefault="0053692D" w:rsidP="001732D8">
      <w:pPr>
        <w:pStyle w:val="HeadNum2"/>
      </w:pPr>
      <w:r>
        <w:t>2.</w:t>
      </w:r>
      <w:r>
        <w:tab/>
        <w:t>Организационные меры защиты</w:t>
      </w:r>
    </w:p>
    <w:p w:rsidR="001732D8" w:rsidRDefault="0053692D" w:rsidP="001732D8">
      <w:pPr>
        <w:pStyle w:val="ListNoNum"/>
      </w:pPr>
      <w:r>
        <w:t>2.1.</w:t>
      </w:r>
      <w:r>
        <w:tab/>
        <w:t>Оператор назначает лицо, ответственное за организацию обработки персональных данных.</w:t>
      </w:r>
    </w:p>
    <w:p w:rsidR="001732D8" w:rsidRDefault="0053692D" w:rsidP="001732D8">
      <w:pPr>
        <w:pStyle w:val="ListNoNum"/>
      </w:pPr>
      <w:r>
        <w:t>2.2.</w:t>
      </w:r>
      <w:r>
        <w:tab/>
        <w:t xml:space="preserve">Оператор разрабатывает и внедряет документы, определяющие политику оператора в отношении обработки персональных данных, локальные акты по вопросам обработки персональных данных, а также локальные акты, устанавливающие процедуры, </w:t>
      </w:r>
      <w:r>
        <w:lastRenderedPageBreak/>
        <w:t>направленные на предотвращение и выявление нарушений законодательства РФ, устранение последствий таких нарушений.</w:t>
      </w:r>
    </w:p>
    <w:p w:rsidR="001732D8" w:rsidRDefault="0053692D" w:rsidP="001732D8">
      <w:pPr>
        <w:pStyle w:val="ListNoNum"/>
      </w:pPr>
      <w:r>
        <w:t>2.3.</w:t>
      </w:r>
      <w:r>
        <w:tab/>
        <w:t>Оператор обязан опубликовать или иным образом обеспечить неограниченный доступ к документу, определяющему его политику в отношении обработки персональных данных, к сведениям о реализуемых требованиях к защите персональных данных.</w:t>
      </w:r>
    </w:p>
    <w:p w:rsidR="001732D8" w:rsidRDefault="0053692D" w:rsidP="001732D8">
      <w:pPr>
        <w:pStyle w:val="ListNoNum"/>
      </w:pPr>
      <w:r>
        <w:t>2.4.</w:t>
      </w:r>
      <w:r>
        <w:tab/>
        <w:t>Оператор определяет перечень персональных данных, подлежащих обработке, с указанием целей и оснований их обработки, перечень информационных систем и помещений, в которых может осуществляться обработка персональных данных, а также перечень лиц, доступ которых к персональным данным необходим для выполнения ими служебных (трудовых) обязанностей.</w:t>
      </w:r>
    </w:p>
    <w:p w:rsidR="001732D8" w:rsidRDefault="0053692D" w:rsidP="001732D8">
      <w:pPr>
        <w:pStyle w:val="ListNoNum"/>
      </w:pPr>
      <w:r>
        <w:t>2.5.</w:t>
      </w:r>
      <w:r>
        <w:tab/>
        <w:t>Оператор устанавливает правила доступа к персональным данным, обрабатываемым в информационных системах персональных данных, а также обеспечивает регистрацию и учет всех действий, совершаемых с персональными данными в информационных системах персональных данных.</w:t>
      </w:r>
    </w:p>
    <w:p w:rsidR="001732D8" w:rsidRDefault="0053692D" w:rsidP="001732D8">
      <w:pPr>
        <w:pStyle w:val="ListNoNum"/>
      </w:pPr>
      <w:r>
        <w:t>2.6.</w:t>
      </w:r>
      <w:r>
        <w:tab/>
        <w:t>Оператор организует контроль за принимаемыми мерами по обеспечению безопасности персональных данных и уровня защищенности информационных систем персональных данных.</w:t>
      </w:r>
    </w:p>
    <w:p w:rsidR="001732D8" w:rsidRDefault="0053692D" w:rsidP="001732D8">
      <w:pPr>
        <w:pStyle w:val="ListNoNum"/>
      </w:pPr>
      <w:r>
        <w:t>2.7.</w:t>
      </w:r>
      <w:r>
        <w:tab/>
        <w:t>Оператор организует обнаружение фактов несанкционированного доступа к персональным данным и принимает адекватные меры по недопущению их повторения.</w:t>
      </w:r>
    </w:p>
    <w:p w:rsidR="001732D8" w:rsidRDefault="0053692D" w:rsidP="001732D8">
      <w:pPr>
        <w:pStyle w:val="ListNoNum"/>
      </w:pPr>
      <w:r>
        <w:t>2.8.</w:t>
      </w:r>
      <w:r>
        <w:tab/>
        <w:t>Оператор обеспечивает учет и сохранность носителей персональных данных.</w:t>
      </w:r>
    </w:p>
    <w:p w:rsidR="001732D8" w:rsidRDefault="0053692D" w:rsidP="001732D8">
      <w:pPr>
        <w:pStyle w:val="ListNoNum"/>
      </w:pPr>
      <w:r>
        <w:t>2.9.</w:t>
      </w:r>
      <w:r>
        <w:tab/>
        <w:t>Оператор организует систему резервирования и восстановления персональных данных, которые могут быть модифицированы или уничтожены вследствие несанкционированного доступа.</w:t>
      </w:r>
    </w:p>
    <w:p w:rsidR="001732D8" w:rsidRDefault="0053692D" w:rsidP="001732D8">
      <w:pPr>
        <w:pStyle w:val="ListNoNum"/>
      </w:pPr>
      <w:r>
        <w:t>2.10.</w:t>
      </w:r>
      <w:r>
        <w:tab/>
        <w:t>Оператор осуществляет регистрацию обращений субъектов персональных данных с целью исполнения их законных прав.</w:t>
      </w:r>
    </w:p>
    <w:p w:rsidR="001732D8" w:rsidRDefault="0053692D" w:rsidP="001732D8">
      <w:pPr>
        <w:pStyle w:val="ListNoNum"/>
      </w:pPr>
      <w:r>
        <w:t>2.11.</w:t>
      </w:r>
      <w:r>
        <w:tab/>
        <w:t>Оператор проводит оценку вреда, который может быть причинен субъектам персональных данных в случае нарушения законодательства, а также оценивает соотношение указанного вреда и принимаемых мер, направленных на обеспечение выполнения обязанностей, предусмотренных законодательством.</w:t>
      </w:r>
    </w:p>
    <w:p w:rsidR="001732D8" w:rsidRDefault="0053692D" w:rsidP="001732D8">
      <w:pPr>
        <w:pStyle w:val="ListNoNum"/>
      </w:pPr>
      <w:r>
        <w:t>2.12.</w:t>
      </w:r>
      <w:r>
        <w:tab/>
        <w:t>Оператор определяет уровень защищенности персональных данных при их обработке в информационных системах персональных данных.</w:t>
      </w:r>
    </w:p>
    <w:p w:rsidR="001732D8" w:rsidRDefault="0053692D" w:rsidP="001732D8">
      <w:pPr>
        <w:pStyle w:val="ListNoNum"/>
      </w:pPr>
      <w:r>
        <w:t>2.13.</w:t>
      </w:r>
      <w:r>
        <w:tab/>
        <w:t>Оператор определяет перечень актуальных угроз безопасности персональных данных при их обработке в информационных системах персональных данных.</w:t>
      </w:r>
    </w:p>
    <w:p w:rsidR="001732D8" w:rsidRDefault="0053692D" w:rsidP="001732D8">
      <w:pPr>
        <w:pStyle w:val="ListNoNum"/>
      </w:pPr>
      <w:r>
        <w:t>2.14.</w:t>
      </w:r>
      <w:r>
        <w:tab/>
        <w:t xml:space="preserve">Оператор осуществляет ознакомление работников, непосредственно осуществляющих обработку персональных данных, с положениями законодательства РФ </w:t>
      </w:r>
      <w:r>
        <w:lastRenderedPageBreak/>
        <w:t>о персональных данных, в том числе требованиями к защите персональных данных, документами, определяющими политику оператора в отношении обработки персональных данных, локальными актами по вопросам обработки персональных данных, и (или) обучение работников.</w:t>
      </w:r>
    </w:p>
    <w:p w:rsidR="001732D8" w:rsidRPr="001732D8" w:rsidRDefault="0053692D" w:rsidP="001732D8">
      <w:pPr>
        <w:pStyle w:val="HeadNum2"/>
      </w:pPr>
      <w:r w:rsidRPr="001732D8">
        <w:t>3.</w:t>
      </w:r>
      <w:r w:rsidRPr="001732D8">
        <w:tab/>
        <w:t>Требования к защите помещений</w:t>
      </w:r>
    </w:p>
    <w:p w:rsidR="001732D8" w:rsidRDefault="0053692D" w:rsidP="001732D8">
      <w:pPr>
        <w:pStyle w:val="ListNoNum"/>
      </w:pPr>
      <w:r>
        <w:t>3.1.</w:t>
      </w:r>
      <w:r>
        <w:tab/>
        <w:t>Оператор организует режим обеспечения безопасности помещений, в которых осуществляется обработка персональных данных, а также размещены элементы информационных систем персональных данных, препятствующий возможности неконтролируемого проникновения или пребывания в этих помещениях лиц, не имеющих права доступа в эти помещения.</w:t>
      </w:r>
    </w:p>
    <w:p w:rsidR="001732D8" w:rsidRDefault="0053692D" w:rsidP="001732D8">
      <w:pPr>
        <w:pStyle w:val="ListNoNum"/>
      </w:pPr>
      <w:r>
        <w:t>3.2.</w:t>
      </w:r>
      <w:r>
        <w:tab/>
        <w:t>Указанные помещения должны быть оборудованы системами охранной и пожарной сигнализации.</w:t>
      </w:r>
    </w:p>
    <w:p w:rsidR="001732D8" w:rsidRDefault="0053692D" w:rsidP="001732D8">
      <w:pPr>
        <w:pStyle w:val="ListNoNum"/>
      </w:pPr>
      <w:r>
        <w:t>3.3.</w:t>
      </w:r>
      <w:r>
        <w:tab/>
        <w:t>Входы в указанные помещения должны быть оборудованы запираемыми прочными дверьми.</w:t>
      </w:r>
    </w:p>
    <w:p w:rsidR="001732D8" w:rsidRDefault="0053692D" w:rsidP="001732D8">
      <w:pPr>
        <w:pStyle w:val="ListNoNum"/>
      </w:pPr>
      <w:r>
        <w:t>3.4.</w:t>
      </w:r>
      <w:r>
        <w:tab/>
        <w:t>Система охранного видеонаблюдения должна быть настроена таким образом, чтобы входы в указанные помещения контролировались и фиксировались службой обеспечения безопасности (правопорядка).</w:t>
      </w:r>
    </w:p>
    <w:sectPr w:rsidR="001732D8" w:rsidSect="00F35B2D">
      <w:pgSz w:w="11906" w:h="16838"/>
      <w:pgMar w:top="1134" w:right="850" w:bottom="1134" w:left="1701" w:header="708" w:footer="326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30EF9"/>
    <w:rsid w:val="000A4413"/>
    <w:rsid w:val="000E2E69"/>
    <w:rsid w:val="000E3019"/>
    <w:rsid w:val="000F5CE2"/>
    <w:rsid w:val="00136D3C"/>
    <w:rsid w:val="001E70AF"/>
    <w:rsid w:val="00211D0C"/>
    <w:rsid w:val="00230344"/>
    <w:rsid w:val="00240714"/>
    <w:rsid w:val="00340A95"/>
    <w:rsid w:val="0035555E"/>
    <w:rsid w:val="00363105"/>
    <w:rsid w:val="003905E6"/>
    <w:rsid w:val="003B2AA1"/>
    <w:rsid w:val="003B2AB5"/>
    <w:rsid w:val="003B590F"/>
    <w:rsid w:val="003C0C71"/>
    <w:rsid w:val="003C580A"/>
    <w:rsid w:val="003C7DB9"/>
    <w:rsid w:val="004269B3"/>
    <w:rsid w:val="00465A6E"/>
    <w:rsid w:val="004A1636"/>
    <w:rsid w:val="004F5EC1"/>
    <w:rsid w:val="005319A7"/>
    <w:rsid w:val="0053692D"/>
    <w:rsid w:val="005D3E29"/>
    <w:rsid w:val="005E3ECE"/>
    <w:rsid w:val="005F5914"/>
    <w:rsid w:val="00600C50"/>
    <w:rsid w:val="006241EA"/>
    <w:rsid w:val="00686AD2"/>
    <w:rsid w:val="006E5C70"/>
    <w:rsid w:val="006F3FE0"/>
    <w:rsid w:val="007162D1"/>
    <w:rsid w:val="00716F07"/>
    <w:rsid w:val="00720151"/>
    <w:rsid w:val="00726CAD"/>
    <w:rsid w:val="00754FAD"/>
    <w:rsid w:val="007752DB"/>
    <w:rsid w:val="00782465"/>
    <w:rsid w:val="007F15E3"/>
    <w:rsid w:val="00803805"/>
    <w:rsid w:val="00872197"/>
    <w:rsid w:val="0087707E"/>
    <w:rsid w:val="00881BA2"/>
    <w:rsid w:val="0088681B"/>
    <w:rsid w:val="00903AD2"/>
    <w:rsid w:val="00916D99"/>
    <w:rsid w:val="00934074"/>
    <w:rsid w:val="00963C24"/>
    <w:rsid w:val="009841D6"/>
    <w:rsid w:val="009900D3"/>
    <w:rsid w:val="00A70DD4"/>
    <w:rsid w:val="00B011D6"/>
    <w:rsid w:val="00B30FE1"/>
    <w:rsid w:val="00B42CEB"/>
    <w:rsid w:val="00B542FE"/>
    <w:rsid w:val="00B70391"/>
    <w:rsid w:val="00BF42AF"/>
    <w:rsid w:val="00C64DAE"/>
    <w:rsid w:val="00CB2E45"/>
    <w:rsid w:val="00CE52BF"/>
    <w:rsid w:val="00D165D3"/>
    <w:rsid w:val="00D46427"/>
    <w:rsid w:val="00DB047D"/>
    <w:rsid w:val="00E2634D"/>
    <w:rsid w:val="00E30EF9"/>
    <w:rsid w:val="00E47260"/>
    <w:rsid w:val="00E84BBF"/>
    <w:rsid w:val="00EB6BF6"/>
    <w:rsid w:val="00EC408A"/>
    <w:rsid w:val="00F20479"/>
    <w:rsid w:val="00F317A8"/>
    <w:rsid w:val="00F33B8F"/>
    <w:rsid w:val="00F35D94"/>
    <w:rsid w:val="00F6006B"/>
    <w:rsid w:val="00F777FF"/>
    <w:rsid w:val="00F90B60"/>
    <w:rsid w:val="00FD6AA5"/>
    <w:rsid w:val="00FE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13023"/>
  <w15:docId w15:val="{F4ABDE89-F1D6-4E27-9F0D-48C355577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A1E"/>
    <w:pPr>
      <w:spacing w:after="0" w:line="36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styleId="1">
    <w:name w:val="heading 1"/>
    <w:basedOn w:val="a"/>
    <w:next w:val="a"/>
    <w:link w:val="10"/>
    <w:uiPriority w:val="9"/>
    <w:semiHidden/>
    <w:rsid w:val="00B57A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semiHidden/>
    <w:rsid w:val="00B57A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OrgName">
    <w:name w:val="OrgName"/>
    <w:next w:val="a"/>
    <w:qFormat/>
    <w:rsid w:val="00B57A1E"/>
    <w:pPr>
      <w:pBdr>
        <w:bottom w:val="single" w:sz="6" w:space="1" w:color="auto"/>
      </w:pBdr>
      <w:jc w:val="center"/>
    </w:pPr>
    <w:rPr>
      <w:rFonts w:ascii="Times New Roman" w:eastAsiaTheme="minorHAnsi" w:hAnsi="Times New Roman"/>
      <w:b/>
      <w:sz w:val="20"/>
      <w:szCs w:val="20"/>
      <w:lang w:eastAsia="en-US"/>
    </w:rPr>
  </w:style>
  <w:style w:type="paragraph" w:customStyle="1" w:styleId="DocTitle">
    <w:name w:val="DocTitle"/>
    <w:next w:val="a"/>
    <w:link w:val="DocTitle0"/>
    <w:qFormat/>
    <w:rsid w:val="00B57A1E"/>
    <w:pPr>
      <w:spacing w:before="360" w:after="240"/>
      <w:jc w:val="center"/>
    </w:pPr>
    <w:rPr>
      <w:rFonts w:ascii="Times New Roman" w:eastAsiaTheme="minorHAnsi" w:hAnsi="Times New Roman"/>
      <w:b/>
      <w:spacing w:val="40"/>
      <w:sz w:val="28"/>
      <w:lang w:eastAsia="en-US"/>
    </w:rPr>
  </w:style>
  <w:style w:type="paragraph" w:customStyle="1" w:styleId="Date-City">
    <w:name w:val="Date-City"/>
    <w:next w:val="a"/>
    <w:qFormat/>
    <w:rsid w:val="00B57A1E"/>
    <w:pPr>
      <w:tabs>
        <w:tab w:val="right" w:pos="9355"/>
      </w:tabs>
    </w:pPr>
    <w:rPr>
      <w:rFonts w:ascii="Times New Roman" w:eastAsiaTheme="minorHAnsi" w:hAnsi="Times New Roman"/>
      <w:sz w:val="24"/>
      <w:lang w:eastAsia="en-US"/>
    </w:rPr>
  </w:style>
  <w:style w:type="paragraph" w:customStyle="1" w:styleId="Command">
    <w:name w:val="Command"/>
    <w:next w:val="a"/>
    <w:qFormat/>
    <w:rsid w:val="00B57A1E"/>
    <w:pPr>
      <w:spacing w:before="480" w:after="480"/>
    </w:pPr>
    <w:rPr>
      <w:rFonts w:ascii="Times New Roman" w:eastAsiaTheme="minorHAnsi" w:hAnsi="Times New Roman"/>
      <w:b/>
      <w:sz w:val="24"/>
      <w:lang w:eastAsia="en-US"/>
    </w:rPr>
  </w:style>
  <w:style w:type="paragraph" w:customStyle="1" w:styleId="ListNum-1">
    <w:name w:val="ListNum-1"/>
    <w:qFormat/>
    <w:rsid w:val="000C2B37"/>
    <w:pPr>
      <w:tabs>
        <w:tab w:val="left" w:pos="567"/>
        <w:tab w:val="left" w:pos="709"/>
        <w:tab w:val="left" w:pos="851"/>
      </w:tabs>
      <w:spacing w:after="0" w:line="360" w:lineRule="auto"/>
      <w:ind w:firstLine="284"/>
      <w:jc w:val="both"/>
    </w:pPr>
    <w:rPr>
      <w:rFonts w:ascii="Times New Roman" w:eastAsiaTheme="minorHAnsi" w:hAnsi="Times New Roman"/>
      <w:sz w:val="24"/>
      <w:lang w:eastAsia="en-US"/>
    </w:rPr>
  </w:style>
  <w:style w:type="paragraph" w:styleId="a3">
    <w:name w:val="List Paragraph"/>
    <w:basedOn w:val="a"/>
    <w:link w:val="a4"/>
    <w:uiPriority w:val="34"/>
    <w:semiHidden/>
    <w:rsid w:val="00B57A1E"/>
    <w:pPr>
      <w:ind w:left="720"/>
      <w:contextualSpacing/>
    </w:pPr>
  </w:style>
  <w:style w:type="paragraph" w:customStyle="1" w:styleId="DocSign">
    <w:name w:val="DocSign"/>
    <w:basedOn w:val="a"/>
    <w:qFormat/>
    <w:rsid w:val="000F33F9"/>
    <w:pPr>
      <w:tabs>
        <w:tab w:val="right" w:pos="9355"/>
      </w:tabs>
      <w:spacing w:before="840"/>
      <w:ind w:firstLine="0"/>
    </w:pPr>
  </w:style>
  <w:style w:type="paragraph" w:customStyle="1" w:styleId="DocAttach">
    <w:name w:val="DocAttach"/>
    <w:basedOn w:val="a"/>
    <w:qFormat/>
    <w:rsid w:val="00B07DB9"/>
    <w:pPr>
      <w:ind w:firstLine="0"/>
      <w:jc w:val="right"/>
    </w:pPr>
  </w:style>
  <w:style w:type="paragraph" w:customStyle="1" w:styleId="TableHeader">
    <w:name w:val="TableHeader"/>
    <w:basedOn w:val="a"/>
    <w:qFormat/>
    <w:rsid w:val="00975DD1"/>
    <w:pPr>
      <w:spacing w:line="240" w:lineRule="auto"/>
      <w:ind w:firstLine="0"/>
      <w:jc w:val="center"/>
    </w:pPr>
    <w:rPr>
      <w:b/>
      <w:sz w:val="22"/>
      <w:szCs w:val="24"/>
    </w:rPr>
  </w:style>
  <w:style w:type="paragraph" w:customStyle="1" w:styleId="TableContent">
    <w:name w:val="TableContent"/>
    <w:basedOn w:val="a"/>
    <w:qFormat/>
    <w:rsid w:val="00F26BB9"/>
    <w:pPr>
      <w:spacing w:line="240" w:lineRule="auto"/>
      <w:ind w:firstLine="0"/>
      <w:jc w:val="left"/>
    </w:pPr>
    <w:rPr>
      <w:szCs w:val="24"/>
    </w:rPr>
  </w:style>
  <w:style w:type="paragraph" w:customStyle="1" w:styleId="TableList">
    <w:name w:val="TableList"/>
    <w:basedOn w:val="a"/>
    <w:qFormat/>
    <w:rsid w:val="00340A95"/>
    <w:pPr>
      <w:spacing w:line="240" w:lineRule="auto"/>
      <w:ind w:firstLine="0"/>
      <w:contextualSpacing/>
      <w:jc w:val="left"/>
    </w:pPr>
    <w:rPr>
      <w:sz w:val="22"/>
    </w:rPr>
  </w:style>
  <w:style w:type="paragraph" w:customStyle="1" w:styleId="DocClaim">
    <w:name w:val="DocClaim"/>
    <w:basedOn w:val="a"/>
    <w:qFormat/>
    <w:rsid w:val="00D7722F"/>
    <w:pPr>
      <w:ind w:left="5103" w:firstLine="0"/>
      <w:jc w:val="left"/>
    </w:pPr>
  </w:style>
  <w:style w:type="paragraph" w:customStyle="1" w:styleId="FrontTitle">
    <w:name w:val="FrontTitle"/>
    <w:basedOn w:val="a"/>
    <w:qFormat/>
    <w:rsid w:val="00BC789A"/>
    <w:pPr>
      <w:spacing w:before="4000" w:after="6000"/>
      <w:ind w:firstLine="0"/>
      <w:jc w:val="center"/>
    </w:pPr>
    <w:rPr>
      <w:b/>
      <w:spacing w:val="20"/>
      <w:sz w:val="28"/>
    </w:rPr>
  </w:style>
  <w:style w:type="paragraph" w:customStyle="1" w:styleId="FrontCity">
    <w:name w:val="FrontCity"/>
    <w:basedOn w:val="a"/>
    <w:next w:val="a"/>
    <w:qFormat/>
    <w:rsid w:val="00BC789A"/>
    <w:pPr>
      <w:spacing w:line="240" w:lineRule="auto"/>
      <w:ind w:firstLine="0"/>
      <w:jc w:val="center"/>
    </w:pPr>
  </w:style>
  <w:style w:type="paragraph" w:customStyle="1" w:styleId="HeadNum1">
    <w:name w:val="HeadNum 1"/>
    <w:basedOn w:val="a"/>
    <w:next w:val="a"/>
    <w:qFormat/>
    <w:rsid w:val="000C2B37"/>
    <w:pPr>
      <w:keepNext/>
      <w:tabs>
        <w:tab w:val="left" w:pos="851"/>
        <w:tab w:val="left" w:pos="993"/>
        <w:tab w:val="left" w:pos="1134"/>
      </w:tabs>
      <w:spacing w:before="200" w:after="120"/>
      <w:jc w:val="left"/>
    </w:pPr>
    <w:rPr>
      <w:b/>
    </w:rPr>
  </w:style>
  <w:style w:type="paragraph" w:customStyle="1" w:styleId="HeadNum2">
    <w:name w:val="HeadNum 2"/>
    <w:basedOn w:val="a"/>
    <w:next w:val="a"/>
    <w:qFormat/>
    <w:rsid w:val="000C2B37"/>
    <w:pPr>
      <w:keepNext/>
      <w:tabs>
        <w:tab w:val="left" w:pos="993"/>
        <w:tab w:val="left" w:pos="1134"/>
        <w:tab w:val="left" w:pos="1276"/>
      </w:tabs>
      <w:spacing w:before="120"/>
      <w:jc w:val="left"/>
    </w:pPr>
    <w:rPr>
      <w:b/>
    </w:rPr>
  </w:style>
  <w:style w:type="paragraph" w:customStyle="1" w:styleId="DocRefer">
    <w:name w:val="DocRefer"/>
    <w:basedOn w:val="a"/>
    <w:qFormat/>
    <w:rsid w:val="004C36D7"/>
    <w:pPr>
      <w:pageBreakBefore/>
      <w:spacing w:before="100" w:beforeAutospacing="1" w:after="100" w:afterAutospacing="1" w:line="240" w:lineRule="auto"/>
      <w:ind w:firstLine="0"/>
      <w:jc w:val="center"/>
      <w:outlineLvl w:val="3"/>
    </w:pPr>
    <w:rPr>
      <w:rFonts w:eastAsiaTheme="minorEastAsia" w:cs="Times New Roman"/>
      <w:b/>
      <w:bCs/>
      <w:szCs w:val="24"/>
      <w:lang w:eastAsia="ru-RU"/>
    </w:rPr>
  </w:style>
  <w:style w:type="paragraph" w:customStyle="1" w:styleId="DocName">
    <w:name w:val="DocName"/>
    <w:basedOn w:val="a"/>
    <w:qFormat/>
    <w:rsid w:val="00DF2C4E"/>
    <w:pPr>
      <w:ind w:firstLine="0"/>
    </w:pPr>
    <w:rPr>
      <w:b/>
      <w:i/>
    </w:rPr>
  </w:style>
  <w:style w:type="table" w:styleId="a5">
    <w:name w:val="Table Grid"/>
    <w:basedOn w:val="a1"/>
    <w:uiPriority w:val="59"/>
    <w:rsid w:val="009802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ocTitleNorm">
    <w:name w:val="DocTitleNorm"/>
    <w:basedOn w:val="DocTitle"/>
    <w:link w:val="DocTitleNorm0"/>
    <w:qFormat/>
    <w:rsid w:val="00980243"/>
    <w:rPr>
      <w:spacing w:val="0"/>
    </w:rPr>
  </w:style>
  <w:style w:type="character" w:customStyle="1" w:styleId="DocTitle0">
    <w:name w:val="DocTitle Знак"/>
    <w:basedOn w:val="a0"/>
    <w:link w:val="DocTitle"/>
    <w:rsid w:val="00980243"/>
    <w:rPr>
      <w:rFonts w:ascii="Times New Roman" w:eastAsiaTheme="minorHAnsi" w:hAnsi="Times New Roman"/>
      <w:b/>
      <w:spacing w:val="40"/>
      <w:sz w:val="28"/>
      <w:lang w:eastAsia="en-US"/>
    </w:rPr>
  </w:style>
  <w:style w:type="character" w:customStyle="1" w:styleId="DocTitleNorm0">
    <w:name w:val="DocTitleNorm Знак"/>
    <w:basedOn w:val="DocTitle0"/>
    <w:link w:val="DocTitleNorm"/>
    <w:rsid w:val="00980243"/>
    <w:rPr>
      <w:rFonts w:ascii="Times New Roman" w:eastAsiaTheme="minorHAnsi" w:hAnsi="Times New Roman"/>
      <w:b/>
      <w:spacing w:val="40"/>
      <w:sz w:val="28"/>
      <w:lang w:eastAsia="en-US"/>
    </w:rPr>
  </w:style>
  <w:style w:type="paragraph" w:styleId="a6">
    <w:name w:val="footer"/>
    <w:basedOn w:val="a"/>
    <w:link w:val="a7"/>
    <w:uiPriority w:val="99"/>
    <w:unhideWhenUsed/>
    <w:rsid w:val="005F32F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32F3"/>
    <w:rPr>
      <w:rFonts w:ascii="Times New Roman" w:eastAsiaTheme="minorHAnsi" w:hAnsi="Times New Roman"/>
      <w:sz w:val="24"/>
      <w:lang w:eastAsia="en-US"/>
    </w:rPr>
  </w:style>
  <w:style w:type="paragraph" w:customStyle="1" w:styleId="ListNoNum">
    <w:name w:val="ListNoNum"/>
    <w:basedOn w:val="a"/>
    <w:link w:val="ListNoNum0"/>
    <w:qFormat/>
    <w:rsid w:val="001732D8"/>
    <w:pPr>
      <w:tabs>
        <w:tab w:val="left" w:pos="851"/>
        <w:tab w:val="left" w:pos="993"/>
        <w:tab w:val="left" w:pos="1134"/>
      </w:tabs>
    </w:pPr>
  </w:style>
  <w:style w:type="character" w:customStyle="1" w:styleId="a4">
    <w:name w:val="Абзац списка Знак"/>
    <w:basedOn w:val="a0"/>
    <w:link w:val="a3"/>
    <w:uiPriority w:val="34"/>
    <w:semiHidden/>
    <w:rsid w:val="005F32F3"/>
    <w:rPr>
      <w:rFonts w:ascii="Times New Roman" w:eastAsiaTheme="minorHAnsi" w:hAnsi="Times New Roman"/>
      <w:sz w:val="24"/>
      <w:lang w:eastAsia="en-US"/>
    </w:rPr>
  </w:style>
  <w:style w:type="character" w:customStyle="1" w:styleId="ListNoNum0">
    <w:name w:val="ListNoNum Знак"/>
    <w:basedOn w:val="a4"/>
    <w:link w:val="ListNoNum"/>
    <w:rsid w:val="001732D8"/>
    <w:rPr>
      <w:rFonts w:ascii="Times New Roman" w:eastAsiaTheme="minorHAnsi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B0B2BE5CA992046AD32276985632688" ma:contentTypeVersion="0" ma:contentTypeDescription="Создание документа." ma:contentTypeScope="" ma:versionID="19e8b93bf264cc6825a6ccc26e98e95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4CA29C-EE33-43E5-AEB8-C6B4CA0FC2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9B9FDF-A0EC-4DFC-92FD-3FE24222FC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FBF417E-F483-443C-905D-2FF98ACC1C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3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152online.ru</Company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152online.ru</dc:creator>
  <cp:lastModifiedBy>priemnaya</cp:lastModifiedBy>
  <cp:revision>3</cp:revision>
  <dcterms:created xsi:type="dcterms:W3CDTF">2012-12-29T06:38:00Z</dcterms:created>
  <dcterms:modified xsi:type="dcterms:W3CDTF">2019-06-28T08:33:00Z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0x0101008B0B2BE5CA992046AD32276985632688</vt:lpwstr>
  </property>
</Properties>
</file>